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74CC0" w14:textId="77777777"/>
    <w:tbl>
      <w:tblPr>
        <w:tblW w:w="0" w:type="auto"/>
        <w:tblInd w:w="-108" w:type="dxa"/>
        <w:tblBorders>
          <w:top w:val="nil"/>
          <w:left w:val="nil"/>
          <w:bottom w:val="nil"/>
          <w:right w:val="nil"/>
        </w:tblBorders>
        <w:tblLayout w:type="fixed"/>
        <w:tblLook w:val="0000" w:firstRow="0" w:lastRow="0" w:firstColumn="0" w:lastColumn="0" w:noHBand="0" w:noVBand="0"/>
      </w:tblPr>
      <w:tblGrid>
        <w:gridCol w:w="4513"/>
        <w:gridCol w:w="4513"/>
      </w:tblGrid>
      <w:tr w14:paraId="2BFEA154" w14:textId="77777777">
        <w:trPr>
          <w:trHeight w:val="120"/>
        </w:trPr>
        <w:tc>
          <w:tcPr>
            <w:tcW w:w="9026" w:type="dxa"/>
            <w:gridSpan w:val="2"/>
          </w:tcPr>
          <w:p w14:paraId="057D00EA" w14:textId="34F4CEF6">
            <w:pPr>
              <w:jc w:val="center"/>
              <w:rPr>
                <w:b/>
              </w:rPr>
              <w:pStyle w:val="P68B1DB1-Normal1"/>
            </w:pPr>
            <w:r>
              <w:t xml:space="preserve">Plan de leçon e-SOC  </w:t>
            </w:r>
          </w:p>
          <w:p w14:paraId="56984E3F" w14:textId="2EB47215">
            <w:pPr>
              <w:jc w:val="center"/>
              <w:rPr>
                <w:sz w:val="28"/>
              </w:rPr>
              <w:pStyle w:val="P68B1DB1-Normal2"/>
            </w:pPr>
            <w:r>
              <w:t xml:space="preserve">Femmes au CERN</w:t>
            </w:r>
          </w:p>
        </w:tc>
      </w:tr>
      <w:tr w14:paraId="51BD7087" w14:textId="77777777">
        <w:trPr>
          <w:trHeight w:val="1047"/>
        </w:trPr>
        <w:tc>
          <w:tcPr>
            <w:tcW w:w="4513" w:type="dxa"/>
          </w:tcPr>
          <w:p w14:paraId="76E5D0AF" w14:textId="2ADE818F">
            <w:pPr>
              <w:rPr>
                <w:b/>
              </w:rPr>
              <w:pStyle w:val="P68B1DB1-Normal1"/>
            </w:pPr>
            <w:r>
              <w:t xml:space="preserve">Objectifs d’apprentissage:                                                  </w:t>
            </w:r>
          </w:p>
          <w:p w14:paraId="627FD035" w14:textId="271B1B6C">
            <w:pPr>
              <w:pStyle w:val="P68B1DB1-Normal1"/>
            </w:pPr>
            <w:r>
              <w:t>(INTELLIGENT)</w:t>
            </w:r>
          </w:p>
        </w:tc>
        <w:tc>
          <w:tcPr>
            <w:tcW w:w="4513" w:type="dxa"/>
          </w:tcPr>
          <w:p w14:paraId="5C636009" w14:textId="7A821C82">
            <w:r>
              <w:t xml:space="preserve">Développer une compréhension du fait que les femmes et les filles peuvent apporter une contribution significative au monde de STEAM.</w:t>
            </w:r>
          </w:p>
          <w:p w14:paraId="17271781" w14:textId="123727D5"/>
        </w:tc>
      </w:tr>
      <w:tr w14:paraId="6192EE89" w14:textId="77777777">
        <w:trPr>
          <w:trHeight w:val="1785"/>
        </w:trPr>
        <w:tc>
          <w:tcPr>
            <w:tcW w:w="4513" w:type="dxa"/>
          </w:tcPr>
          <w:p w14:paraId="1EB65342" w14:textId="77777777">
            <w:pPr>
              <w:rPr>
                <w:b/>
              </w:rPr>
              <w:pStyle w:val="P68B1DB1-Normal1"/>
            </w:pPr>
            <w:r>
              <w:t xml:space="preserve">Résultats d’apprentissage: </w:t>
            </w:r>
          </w:p>
          <w:p w14:paraId="583AEC1B" w14:textId="3B9FC9FE">
            <w:pPr>
              <w:rPr>
                <w:b/>
              </w:rPr>
              <w:pStyle w:val="P68B1DB1-Normal1"/>
            </w:pPr>
            <w:r>
              <w:t xml:space="preserve">(Utiliser la taxonomie de Bloom</w:t>
            </w:r>
          </w:p>
          <w:p w14:paraId="6B92BB83" w14:textId="75052953">
            <w:pPr>
              <w:pStyle w:val="P68B1DB1-Normal1"/>
            </w:pPr>
            <w:r>
              <w:t xml:space="preserve">verbes d’action)</w:t>
            </w:r>
          </w:p>
        </w:tc>
        <w:tc>
          <w:tcPr>
            <w:tcW w:w="4513" w:type="dxa"/>
          </w:tcPr>
          <w:p w14:paraId="773093F0" w14:textId="0313B0F9">
            <w:r>
              <w:t xml:space="preserve">En terminant cette session/la classe, les participants auront: </w:t>
            </w:r>
          </w:p>
          <w:p w14:paraId="1DA84810" w14:textId="77777777">
            <w:pPr>
              <w:rPr>
                <w:b/>
                <w:color w:val="0070C0"/>
              </w:rPr>
              <w:pStyle w:val="P68B1DB1-Normal3"/>
            </w:pPr>
            <w:r>
              <w:t xml:space="preserve">Connaissances: </w:t>
            </w:r>
          </w:p>
          <w:p w14:paraId="3FAC0772" w14:textId="77777777">
            <w:r>
              <w:t xml:space="preserve">signaler l’intérêt du CERN en matière d’égalité des sexes, relier l’égalité des sexes et le libre choix des femmes à travailler dans les domaines de la STEAM avec les progrès scientifiques en général, relier l’égalité entre les sexes à d’autres formes d’égalité des chances (égalité liée à la nationalité par exemple)</w:t>
            </w:r>
          </w:p>
          <w:p w14:paraId="08124106" w14:textId="77777777">
            <w:pPr>
              <w:rPr>
                <w:b/>
                <w:color w:val="0070C0"/>
              </w:rPr>
              <w:pStyle w:val="P68B1DB1-Normal3"/>
            </w:pPr>
            <w:r>
              <w:t xml:space="preserve">Compétences: </w:t>
            </w:r>
          </w:p>
          <w:p w14:paraId="785EFE49" w14:textId="77777777">
            <w:r>
              <w:t xml:space="preserve">élaborer le sens d’une déclaration et en analyser plusieurs aspects</w:t>
            </w:r>
          </w:p>
          <w:p w14:paraId="086E7EC9" w14:textId="77777777">
            <w:pPr>
              <w:rPr>
                <w:b/>
                <w:color w:val="0070C0"/>
              </w:rPr>
              <w:pStyle w:val="P68B1DB1-Normal3"/>
            </w:pPr>
            <w:r>
              <w:t xml:space="preserve">Attitudes: </w:t>
            </w:r>
          </w:p>
          <w:p w14:paraId="6A4D9DB9" w14:textId="77777777">
            <w:r>
              <w:t xml:space="preserve">relier l’égalité des chances non seulement au bien-être personnel et à l’équité, mais aussi au progrès de l’humanité en général.</w:t>
            </w:r>
          </w:p>
          <w:p w14:paraId="06E385DC" w14:textId="77777777"/>
        </w:tc>
      </w:tr>
      <w:tr w14:paraId="5D58CDBB" w14:textId="77777777">
        <w:trPr>
          <w:trHeight w:val="1587"/>
        </w:trPr>
        <w:tc>
          <w:tcPr>
            <w:tcW w:w="4513" w:type="dxa"/>
          </w:tcPr>
          <w:p w14:paraId="5CD5DEA6" w14:textId="3671B543"/>
        </w:tc>
        <w:tc>
          <w:tcPr>
            <w:tcW w:w="4513" w:type="dxa"/>
          </w:tcPr>
          <w:p w14:paraId="08FFEDF7" w14:textId="77777777"/>
        </w:tc>
      </w:tr>
      <w:tr w14:paraId="7C86A852" w14:textId="77777777">
        <w:trPr>
          <w:trHeight w:val="1157"/>
        </w:trPr>
        <w:tc>
          <w:tcPr>
            <w:tcW w:w="4513" w:type="dxa"/>
          </w:tcPr>
          <w:p w14:paraId="5BBE8118" w14:textId="7011C031">
            <w:pPr>
              <w:pStyle w:val="P68B1DB1-Normal4"/>
            </w:pPr>
            <w:r>
              <w:t xml:space="preserve">Groupe cible:</w:t>
            </w:r>
          </w:p>
        </w:tc>
        <w:tc>
          <w:tcPr>
            <w:tcW w:w="4513" w:type="dxa"/>
          </w:tcPr>
          <w:p w14:paraId="5707A9AE" w14:textId="3121C939">
            <w:pPr>
              <w:keepNext/>
              <w:spacing w:before="120" w:after="0"/>
              <w:rPr>
                <w:rFonts w:cstheme="minorHAnsi"/>
              </w:rPr>
              <w:pStyle w:val="P68B1DB1-Normal5"/>
            </w:pPr>
            <w:r>
              <w:t xml:space="preserve">Élèves de l’école secondaire (choisissez de 12 à 15 ans)</w:t>
            </w:r>
          </w:p>
          <w:p w14:paraId="78316C64" w14:textId="3CE78139">
            <w:pPr>
              <w:keepNext/>
              <w:spacing w:before="120" w:after="0"/>
              <w:rPr>
                <w:rFonts w:cstheme="minorHAnsi"/>
              </w:rPr>
              <w:pStyle w:val="P68B1DB1-Normal5"/>
            </w:pPr>
            <w:r>
              <w:t xml:space="preserve">Science intégrée — Physique</w:t>
            </w:r>
          </w:p>
          <w:p w14:paraId="25530229" w14:textId="12DDB28C"/>
        </w:tc>
      </w:tr>
    </w:tbl>
    <w:tbl>
      <w:tblPr>
        <w:tblpPr w:leftFromText="180" w:rightFromText="180" w:vertAnchor="text" w:horzAnchor="margin" w:tblpX="-522" w:tblpY="368"/>
        <w:tblW w:w="10620" w:type="dxa"/>
        <w:tblLayout w:type="fixed"/>
        <w:tblLook w:val="00A0" w:firstRow="1" w:lastRow="0" w:firstColumn="1" w:lastColumn="0" w:noHBand="0" w:noVBand="0"/>
      </w:tblPr>
      <w:tblGrid>
        <w:gridCol w:w="2160"/>
        <w:gridCol w:w="5868"/>
        <w:gridCol w:w="1719"/>
        <w:gridCol w:w="873"/>
      </w:tblGrid>
      <w:tr w14:paraId="36BA0942" w14:textId="77777777">
        <w:trPr>
          <w:trHeight w:val="789"/>
        </w:trPr>
        <w:tc>
          <w:tcPr>
            <w:tcW w:w="2160" w:type="dxa"/>
            <w:tcBorders>
              <w:top w:val="single" w:sz="4" w:space="0" w:color="auto"/>
              <w:left w:val="single" w:sz="4" w:space="0" w:color="auto"/>
              <w:bottom w:val="single" w:sz="4" w:space="0" w:color="auto"/>
              <w:right w:val="single" w:sz="4" w:space="0" w:color="auto"/>
            </w:tcBorders>
          </w:tcPr>
          <w:p w14:paraId="256F076F" w14:textId="77777777">
            <w:pPr>
              <w:spacing w:before="120"/>
              <w:rPr>
                <w:b/>
                <w:color w:val="000000"/>
              </w:rPr>
              <w:pStyle w:val="P68B1DB1-Normal6"/>
            </w:pPr>
            <w:r>
              <w:t xml:space="preserve">Activité Titre et numéro</w:t>
            </w:r>
          </w:p>
        </w:tc>
        <w:tc>
          <w:tcPr>
            <w:tcW w:w="5868" w:type="dxa"/>
            <w:tcBorders>
              <w:top w:val="single" w:sz="4" w:space="0" w:color="auto"/>
              <w:left w:val="single" w:sz="4" w:space="0" w:color="auto"/>
              <w:bottom w:val="single" w:sz="4" w:space="0" w:color="auto"/>
              <w:right w:val="single" w:sz="4" w:space="0" w:color="auto"/>
            </w:tcBorders>
          </w:tcPr>
          <w:p w14:paraId="2F7CFA6D" w14:textId="5DE1DB40">
            <w:pPr>
              <w:keepNext/>
              <w:spacing w:before="120" w:after="0"/>
              <w:jc w:val="center"/>
              <w:rPr>
                <w:b/>
              </w:rPr>
              <w:pStyle w:val="P68B1DB1-Normal6"/>
            </w:pPr>
            <w:r>
              <w:t xml:space="preserve">Brève description de l’activité</w:t>
            </w:r>
          </w:p>
        </w:tc>
        <w:tc>
          <w:tcPr>
            <w:tcW w:w="1719" w:type="dxa"/>
            <w:tcBorders>
              <w:top w:val="single" w:sz="4" w:space="0" w:color="auto"/>
              <w:left w:val="single" w:sz="4" w:space="0" w:color="auto"/>
              <w:bottom w:val="single" w:sz="4" w:space="0" w:color="auto"/>
              <w:right w:val="single" w:sz="4" w:space="0" w:color="auto"/>
            </w:tcBorders>
          </w:tcPr>
          <w:p w14:paraId="689FFDEA" w14:textId="77777777">
            <w:pPr>
              <w:keepNext/>
              <w:spacing w:before="120" w:after="0"/>
              <w:rPr>
                <w:b/>
              </w:rPr>
              <w:pStyle w:val="P68B1DB1-Normal6"/>
            </w:pPr>
            <w:r>
              <w:t xml:space="preserve">Ressources nécessaires</w:t>
            </w:r>
          </w:p>
        </w:tc>
        <w:tc>
          <w:tcPr>
            <w:tcW w:w="873" w:type="dxa"/>
            <w:tcBorders>
              <w:top w:val="single" w:sz="4" w:space="0" w:color="auto"/>
              <w:left w:val="single" w:sz="4" w:space="0" w:color="auto"/>
              <w:bottom w:val="single" w:sz="4" w:space="0" w:color="auto"/>
              <w:right w:val="single" w:sz="4" w:space="0" w:color="auto"/>
            </w:tcBorders>
          </w:tcPr>
          <w:p w14:paraId="5CDCDD70" w14:textId="77777777">
            <w:pPr>
              <w:keepNext/>
              <w:spacing w:before="120" w:after="0"/>
              <w:rPr>
                <w:b/>
              </w:rPr>
              <w:pStyle w:val="P68B1DB1-Normal1"/>
            </w:pPr>
            <w:r>
              <w:t>Temps</w:t>
            </w:r>
          </w:p>
          <w:p w14:paraId="2027ECF4" w14:textId="77777777">
            <w:pPr>
              <w:keepNext/>
              <w:spacing w:before="120" w:after="0"/>
            </w:pPr>
            <w:r>
              <w:t xml:space="preserve">2hs au total</w:t>
            </w:r>
          </w:p>
        </w:tc>
      </w:tr>
      <w:tr w14:paraId="37C15AFE" w14:textId="77777777">
        <w:tc>
          <w:tcPr>
            <w:tcW w:w="2160" w:type="dxa"/>
            <w:tcBorders>
              <w:top w:val="single" w:sz="4" w:space="0" w:color="auto"/>
              <w:left w:val="single" w:sz="4" w:space="0" w:color="auto"/>
              <w:bottom w:val="single" w:sz="4" w:space="0" w:color="auto"/>
              <w:right w:val="single" w:sz="4" w:space="0" w:color="auto"/>
            </w:tcBorders>
          </w:tcPr>
          <w:p w14:paraId="1A0200CC" w14:textId="77777777">
            <w:pPr>
              <w:spacing w:before="120"/>
              <w:rPr>
                <w:rFonts w:ascii="Times New Roman" w:hAnsi="Times New Roman" w:cs="Times New Roman"/>
                <w:b/>
                <w:color w:val="000000"/>
              </w:rPr>
              <w:pStyle w:val="P68B1DB1-Normal7"/>
            </w:pPr>
            <w:r>
              <w:t xml:space="preserve">Plomb dans: </w:t>
            </w:r>
          </w:p>
          <w:p w14:paraId="59E54117" w14:textId="349BCB83">
            <w:pPr>
              <w:pStyle w:val="P68B1DB1-ListParagraph8"/>
              <w:numPr>
                <w:ilvl w:val="0"/>
                <w:numId w:val="1"/>
              </w:numPr>
              <w:spacing w:before="120"/>
              <w:rPr>
                <w:rFonts w:ascii="Times New Roman" w:hAnsi="Times New Roman" w:cs="Times New Roman"/>
                <w:b/>
                <w:color w:val="000000"/>
              </w:rPr>
            </w:pPr>
            <w:r>
              <w:t xml:space="preserve">Introduire des informations</w:t>
            </w:r>
          </w:p>
        </w:tc>
        <w:tc>
          <w:tcPr>
            <w:tcW w:w="5868" w:type="dxa"/>
            <w:tcBorders>
              <w:top w:val="single" w:sz="4" w:space="0" w:color="auto"/>
              <w:left w:val="single" w:sz="4" w:space="0" w:color="auto"/>
              <w:bottom w:val="single" w:sz="4" w:space="0" w:color="auto"/>
              <w:right w:val="single" w:sz="4" w:space="0" w:color="auto"/>
            </w:tcBorders>
          </w:tcPr>
          <w:p w14:paraId="307D715C" w14:textId="6BBD595E">
            <w:pPr>
              <w:pStyle w:val="P68B1DB1-NormalWeb9"/>
              <w:shd w:val="clear" w:color="auto" w:fill="FFFFFF"/>
              <w:spacing w:line="276" w:lineRule="auto"/>
              <w:jc w:val="both"/>
              <w:rPr>
                <w:rFonts w:asciiTheme="minorHAnsi" w:hAnsiTheme="minorHAnsi" w:cstheme="minorHAnsi"/>
              </w:rPr>
            </w:pPr>
            <w:r>
              <w:t xml:space="preserve">15 minutes sont données aux participants afin d’étudier des documents provenant du site officiel du CERN.</w:t>
            </w:r>
          </w:p>
          <w:p w14:paraId="5772A16D" w14:textId="77777777">
            <w:pPr>
              <w:pStyle w:val="NormalWeb"/>
              <w:shd w:val="clear" w:color="auto" w:fill="FFFFFF"/>
              <w:spacing w:line="276" w:lineRule="auto"/>
              <w:jc w:val="both"/>
              <w:rPr>
                <w:rFonts w:asciiTheme="minorHAnsi" w:hAnsiTheme="minorHAnsi" w:cstheme="minorHAnsi"/>
              </w:rPr>
            </w:pPr>
            <w:r>
              <w:rPr>
                <w:rFonts w:asciiTheme="minorHAnsi" w:hAnsiTheme="minorHAnsi" w:cstheme="minorHAnsi"/>
              </w:rPr>
              <w:t xml:space="preserve">I. Lire l’article «Prenez part au programme Women in Technology 2022 du CERN ici: </w:t>
            </w:r>
            <w:hyperlink r:id="rId10" w:history="1">
              <w:r>
                <w:rPr>
                  <w:rStyle w:val="Hyperlink"/>
                  <w:rFonts w:asciiTheme="minorHAnsi" w:hAnsiTheme="minorHAnsi" w:cstheme="minorHAnsi"/>
                </w:rPr>
                <w:t>https://home.cern/news/news/cern/take-part-cerns-women-technology-2022-mentoring-programme</w:t>
              </w:r>
            </w:hyperlink>
          </w:p>
          <w:p w14:paraId="63A7A59E" w14:textId="77777777">
            <w:pPr>
              <w:pStyle w:val="NormalWeb"/>
              <w:shd w:val="clear" w:color="auto" w:fill="FFFFFF"/>
              <w:spacing w:line="276" w:lineRule="auto"/>
              <w:jc w:val="both"/>
              <w:rPr>
                <w:rFonts w:asciiTheme="minorHAnsi" w:hAnsiTheme="minorHAnsi" w:cstheme="minorHAnsi"/>
              </w:rPr>
            </w:pPr>
            <w:r>
              <w:rPr>
                <w:rFonts w:asciiTheme="minorHAnsi" w:hAnsiTheme="minorHAnsi" w:cstheme="minorHAnsi"/>
              </w:rPr>
              <w:t xml:space="preserve">II. Lisez à propos du programme «Diversité et inclusion du CERN» ici: </w:t>
            </w:r>
            <w:hyperlink r:id="rId11" w:history="1">
              <w:r>
                <w:rPr>
                  <w:rStyle w:val="Hyperlink"/>
                  <w:rFonts w:asciiTheme="minorHAnsi" w:hAnsiTheme="minorHAnsi" w:cstheme="minorHAnsi"/>
                </w:rPr>
                <w:t>https://diversity-and-inclusion.web.cern.ch/</w:t>
              </w:r>
            </w:hyperlink>
          </w:p>
          <w:p w14:paraId="52C3FB5D" w14:textId="77777777">
            <w:pPr>
              <w:pStyle w:val="NormalWeb"/>
              <w:shd w:val="clear" w:color="auto" w:fill="FFFFFF"/>
              <w:spacing w:line="276" w:lineRule="auto"/>
              <w:jc w:val="both"/>
            </w:pPr>
          </w:p>
        </w:tc>
        <w:tc>
          <w:tcPr>
            <w:tcW w:w="1719" w:type="dxa"/>
            <w:tcBorders>
              <w:top w:val="single" w:sz="4" w:space="0" w:color="auto"/>
              <w:left w:val="single" w:sz="4" w:space="0" w:color="auto"/>
              <w:bottom w:val="single" w:sz="4" w:space="0" w:color="auto"/>
              <w:right w:val="single" w:sz="4" w:space="0" w:color="auto"/>
            </w:tcBorders>
          </w:tcPr>
          <w:p w14:paraId="11D1AAA1" w14:textId="3BF740BF">
            <w:pPr>
              <w:keepNext/>
              <w:spacing w:before="120" w:after="0"/>
              <w:rPr>
                <w:rFonts w:cstheme="minorHAnsi"/>
                <w:color w:val="000000"/>
              </w:rPr>
              <w:pStyle w:val="P68B1DB1-Normal10"/>
            </w:pPr>
            <w:r>
              <w:t xml:space="preserve">Ordinateurs, Connexion Internet</w:t>
            </w:r>
          </w:p>
          <w:p w14:paraId="338BA553" w14:textId="77777777">
            <w:pPr>
              <w:keepNext/>
              <w:spacing w:before="120" w:after="0"/>
              <w:rPr>
                <w:rFonts w:ascii="Times New Roman" w:hAnsi="Times New Roman" w:cs="Times New Roman"/>
              </w:rPr>
            </w:pPr>
          </w:p>
          <w:p w14:paraId="0F523BE5" w14:textId="77777777">
            <w:pPr>
              <w:keepNext/>
              <w:spacing w:before="120" w:after="0"/>
              <w:rPr>
                <w:rFonts w:ascii="Times New Roman" w:hAnsi="Times New Roman" w:cs="Times New Roman"/>
              </w:rPr>
            </w:pPr>
          </w:p>
        </w:tc>
        <w:tc>
          <w:tcPr>
            <w:tcW w:w="873" w:type="dxa"/>
            <w:tcBorders>
              <w:top w:val="single" w:sz="4" w:space="0" w:color="auto"/>
              <w:left w:val="single" w:sz="4" w:space="0" w:color="auto"/>
              <w:bottom w:val="single" w:sz="4" w:space="0" w:color="auto"/>
              <w:right w:val="single" w:sz="4" w:space="0" w:color="auto"/>
            </w:tcBorders>
          </w:tcPr>
          <w:p w14:paraId="60D07264" w14:textId="4AAF0B69">
            <w:pPr>
              <w:keepNext/>
              <w:spacing w:before="120" w:after="0"/>
              <w:rPr>
                <w:rFonts w:ascii="Times New Roman" w:hAnsi="Times New Roman" w:cs="Times New Roman"/>
              </w:rPr>
              <w:pStyle w:val="P68B1DB1-Normal11"/>
            </w:pPr>
            <w:r>
              <w:t>15’</w:t>
            </w:r>
          </w:p>
        </w:tc>
      </w:tr>
      <w:tr w14:paraId="237B1ABB" w14:textId="77777777">
        <w:tc>
          <w:tcPr>
            <w:tcW w:w="2160" w:type="dxa"/>
            <w:tcBorders>
              <w:top w:val="single" w:sz="4" w:space="0" w:color="auto"/>
              <w:left w:val="single" w:sz="4" w:space="0" w:color="auto"/>
              <w:bottom w:val="single" w:sz="4" w:space="0" w:color="auto"/>
              <w:right w:val="single" w:sz="4" w:space="0" w:color="auto"/>
            </w:tcBorders>
          </w:tcPr>
          <w:p w14:paraId="0FCC94FF" w14:textId="069F0C2F">
            <w:pPr>
              <w:pStyle w:val="P68B1DB1-ListParagraph8"/>
              <w:numPr>
                <w:ilvl w:val="0"/>
                <w:numId w:val="1"/>
              </w:numPr>
              <w:spacing w:before="120"/>
              <w:rPr>
                <w:rFonts w:ascii="Times New Roman" w:hAnsi="Times New Roman" w:cs="Times New Roman"/>
                <w:b/>
                <w:color w:val="000000"/>
              </w:rPr>
            </w:pPr>
            <w:r>
              <w:t xml:space="preserve">La lecture des déclarations et la formation des groupes</w:t>
            </w:r>
          </w:p>
        </w:tc>
        <w:tc>
          <w:tcPr>
            <w:tcW w:w="5868" w:type="dxa"/>
            <w:tcBorders>
              <w:top w:val="single" w:sz="4" w:space="0" w:color="auto"/>
              <w:left w:val="single" w:sz="4" w:space="0" w:color="auto"/>
              <w:bottom w:val="single" w:sz="4" w:space="0" w:color="auto"/>
              <w:right w:val="single" w:sz="4" w:space="0" w:color="auto"/>
            </w:tcBorders>
          </w:tcPr>
          <w:p w14:paraId="7BA04C10" w14:textId="3EAEDEF2">
            <w:pPr>
              <w:jc w:val="both"/>
              <w:rPr>
                <w:rFonts w:cstheme="minorHAnsi"/>
              </w:rPr>
              <w:pStyle w:val="P68B1DB1-Normal5"/>
            </w:pPr>
            <w:r>
              <w:t xml:space="preserve">Dans la deuxième page, il y a trois déclarations:</w:t>
            </w:r>
          </w:p>
          <w:p w14:paraId="4F92F07B" w14:textId="77777777">
            <w:pPr>
              <w:jc w:val="both"/>
              <w:rPr>
                <w:rFonts w:cstheme="minorHAnsi"/>
              </w:rPr>
              <w:pStyle w:val="P68B1DB1-Normal5"/>
            </w:pPr>
            <w:r>
              <w:t>A)</w:t>
            </w:r>
            <w:r>
              <w:rPr>
                <w:b/>
                <w:i/>
              </w:rPr>
              <w:t xml:space="preserve"> La diversité est un atout de l’humanité, c’est notre richesse, et nous devons l’utiliser de la meilleure façon possible.</w:t>
            </w:r>
          </w:p>
          <w:p w14:paraId="53208376" w14:textId="77777777">
            <w:pPr>
              <w:jc w:val="both"/>
              <w:rPr>
                <w:rFonts w:cstheme="minorHAnsi"/>
              </w:rPr>
              <w:pStyle w:val="P68B1DB1-Normal4"/>
            </w:pPr>
            <w:r>
              <w:t xml:space="preserve">— Fabiola Gianotti, Directeur général</w:t>
            </w:r>
          </w:p>
          <w:p w14:paraId="21602B79" w14:textId="77777777">
            <w:pPr>
              <w:jc w:val="both"/>
              <w:rPr>
                <w:rFonts w:cstheme="minorHAnsi"/>
              </w:rPr>
              <w:pStyle w:val="P68B1DB1-Normal5"/>
            </w:pPr>
            <w:r>
              <w:t>B)</w:t>
            </w:r>
            <w:r>
              <w:rPr>
                <w:b/>
                <w:i/>
              </w:rPr>
              <w:t xml:space="preserve"> Aujourd’hui, de nombreuses femmes peuvent enfin choisir comment vivre leur vie, mais nous devons rester vigilants dans nos efforts collectifs sur la voie de l’égalité des chances, de la diversité et de l’inclusion.</w:t>
            </w:r>
          </w:p>
          <w:p w14:paraId="01708020" w14:textId="77777777">
            <w:pPr>
              <w:jc w:val="both"/>
              <w:rPr>
                <w:rFonts w:cstheme="minorHAnsi"/>
              </w:rPr>
              <w:pStyle w:val="P68B1DB1-Normal4"/>
            </w:pPr>
            <w:r>
              <w:rPr>
                <w:i/>
              </w:rPr>
              <w:t xml:space="preserve">- </w:t>
            </w:r>
            <w:r>
              <w:t xml:space="preserve">Ursula Bassler, ancienne présidente du Conseil du CERN</w:t>
            </w:r>
          </w:p>
          <w:p w14:paraId="53F003D2" w14:textId="77777777">
            <w:pPr>
              <w:jc w:val="both"/>
              <w:rPr>
                <w:rFonts w:cstheme="minorHAnsi"/>
              </w:rPr>
              <w:pStyle w:val="P68B1DB1-Normal5"/>
            </w:pPr>
            <w:r>
              <w:t xml:space="preserve">C) </w:t>
            </w:r>
            <w:r>
              <w:rPr>
                <w:b/>
                <w:i/>
              </w:rPr>
              <w:t xml:space="preserve">Lorsque nous faisons l’expérience de la collaboration et de l’inclusion de personnes d’horizons divers, nous faisons l’expérience de la créativité, qui est essentielle non seulement au progrès humain en général, mais aussi au progrès scientifique en particulier.</w:t>
            </w:r>
          </w:p>
          <w:p w14:paraId="39CF71F9" w14:textId="77777777">
            <w:pPr>
              <w:jc w:val="both"/>
              <w:rPr>
                <w:rFonts w:cstheme="minorHAnsi"/>
              </w:rPr>
              <w:pStyle w:val="P68B1DB1-Normal4"/>
            </w:pPr>
            <w:r>
              <w:t xml:space="preserve">— Barbro Åsman, président du Forum tripartite des conditions d’emploi du CERN («TREF»)</w:t>
            </w:r>
          </w:p>
          <w:p w14:paraId="665424DD" w14:textId="77777777">
            <w:pPr>
              <w:jc w:val="both"/>
              <w:rPr>
                <w:rFonts w:cstheme="minorHAnsi"/>
              </w:rPr>
              <w:pStyle w:val="P68B1DB1-Normal5"/>
            </w:pPr>
            <w:r>
              <w:t xml:space="preserve">Les participants formeront trois groupes et chaque groupe recevra l’un des relevés (imprimés sur un papier).</w:t>
            </w:r>
          </w:p>
          <w:p w14:paraId="4DB82CE7" w14:textId="5A5E3F1A">
            <w:pPr>
              <w:jc w:val="both"/>
              <w:rPr>
                <w:rFonts w:cstheme="minorHAnsi"/>
              </w:rPr>
            </w:pPr>
          </w:p>
        </w:tc>
        <w:tc>
          <w:tcPr>
            <w:tcW w:w="1719" w:type="dxa"/>
            <w:tcBorders>
              <w:top w:val="single" w:sz="4" w:space="0" w:color="auto"/>
              <w:left w:val="single" w:sz="4" w:space="0" w:color="auto"/>
              <w:bottom w:val="single" w:sz="4" w:space="0" w:color="auto"/>
              <w:right w:val="single" w:sz="4" w:space="0" w:color="auto"/>
            </w:tcBorders>
          </w:tcPr>
          <w:p w14:paraId="2D9F8165" w14:textId="077D3C05">
            <w:pPr>
              <w:keepNext/>
              <w:spacing w:before="120" w:after="0"/>
              <w:rPr>
                <w:rFonts w:cstheme="minorHAnsi"/>
                <w:color w:val="000000"/>
              </w:rPr>
              <w:pStyle w:val="P68B1DB1-Normal10"/>
            </w:pPr>
            <w:r>
              <w:t xml:space="preserve">Papiers avec les déclarations imprimées</w:t>
            </w:r>
          </w:p>
        </w:tc>
        <w:tc>
          <w:tcPr>
            <w:tcW w:w="873" w:type="dxa"/>
            <w:tcBorders>
              <w:top w:val="single" w:sz="4" w:space="0" w:color="auto"/>
              <w:left w:val="single" w:sz="4" w:space="0" w:color="auto"/>
              <w:bottom w:val="single" w:sz="4" w:space="0" w:color="auto"/>
              <w:right w:val="single" w:sz="4" w:space="0" w:color="auto"/>
            </w:tcBorders>
          </w:tcPr>
          <w:p w14:paraId="5B33D39C" w14:textId="77777777">
            <w:pPr>
              <w:keepNext/>
              <w:spacing w:before="120" w:after="0"/>
              <w:rPr>
                <w:rFonts w:ascii="Times New Roman" w:hAnsi="Times New Roman" w:cs="Times New Roman"/>
              </w:rPr>
              <w:pStyle w:val="P68B1DB1-Normal11"/>
            </w:pPr>
            <w:r>
              <w:t>15’</w:t>
            </w:r>
          </w:p>
          <w:p w14:paraId="6E49F24B" w14:textId="77777777">
            <w:pPr>
              <w:keepNext/>
              <w:spacing w:before="120" w:after="0"/>
              <w:rPr>
                <w:rFonts w:ascii="Times New Roman" w:hAnsi="Times New Roman" w:cs="Times New Roman"/>
              </w:rPr>
            </w:pPr>
          </w:p>
          <w:p w14:paraId="25E1134B" w14:textId="77777777">
            <w:pPr>
              <w:keepNext/>
              <w:spacing w:before="120" w:after="0"/>
              <w:rPr>
                <w:rFonts w:ascii="Times New Roman" w:hAnsi="Times New Roman" w:cs="Times New Roman"/>
              </w:rPr>
            </w:pPr>
          </w:p>
          <w:p w14:paraId="46ADFB63" w14:textId="77777777">
            <w:pPr>
              <w:keepNext/>
              <w:spacing w:before="120" w:after="0"/>
              <w:rPr>
                <w:rFonts w:ascii="Times New Roman" w:hAnsi="Times New Roman" w:cs="Times New Roman"/>
              </w:rPr>
            </w:pPr>
          </w:p>
          <w:p w14:paraId="1B91E853" w14:textId="77777777">
            <w:pPr>
              <w:keepNext/>
              <w:spacing w:before="120" w:after="0"/>
              <w:rPr>
                <w:rFonts w:ascii="Times New Roman" w:hAnsi="Times New Roman" w:cs="Times New Roman"/>
              </w:rPr>
            </w:pPr>
          </w:p>
          <w:p w14:paraId="478A6615" w14:textId="77777777">
            <w:pPr>
              <w:keepNext/>
              <w:spacing w:before="120" w:after="0"/>
              <w:rPr>
                <w:rFonts w:ascii="Times New Roman" w:hAnsi="Times New Roman" w:cs="Times New Roman"/>
              </w:rPr>
            </w:pPr>
          </w:p>
        </w:tc>
      </w:tr>
      <w:tr w14:paraId="18BE956F" w14:textId="77777777">
        <w:tc>
          <w:tcPr>
            <w:tcW w:w="2160" w:type="dxa"/>
            <w:tcBorders>
              <w:top w:val="single" w:sz="4" w:space="0" w:color="auto"/>
              <w:left w:val="single" w:sz="4" w:space="0" w:color="auto"/>
              <w:bottom w:val="single" w:sz="4" w:space="0" w:color="auto"/>
              <w:right w:val="single" w:sz="4" w:space="0" w:color="auto"/>
            </w:tcBorders>
          </w:tcPr>
          <w:p w14:paraId="7C5CC604" w14:textId="11820A39">
            <w:pPr>
              <w:pStyle w:val="P68B1DB1-ListParagraph8"/>
              <w:numPr>
                <w:ilvl w:val="0"/>
                <w:numId w:val="1"/>
              </w:numPr>
              <w:spacing w:before="120"/>
              <w:rPr>
                <w:rFonts w:ascii="Times New Roman" w:hAnsi="Times New Roman" w:cs="Times New Roman"/>
                <w:b/>
                <w:color w:val="000000"/>
              </w:rPr>
            </w:pPr>
            <w:r>
              <w:t>Préparation</w:t>
            </w:r>
          </w:p>
        </w:tc>
        <w:tc>
          <w:tcPr>
            <w:tcW w:w="5868" w:type="dxa"/>
            <w:tcBorders>
              <w:top w:val="single" w:sz="4" w:space="0" w:color="auto"/>
              <w:left w:val="single" w:sz="4" w:space="0" w:color="auto"/>
              <w:bottom w:val="single" w:sz="4" w:space="0" w:color="auto"/>
              <w:right w:val="single" w:sz="4" w:space="0" w:color="auto"/>
            </w:tcBorders>
          </w:tcPr>
          <w:p w14:paraId="0E257394" w14:textId="5E3211AF">
            <w:pPr>
              <w:jc w:val="both"/>
              <w:rPr>
                <w:rFonts w:cstheme="minorHAnsi"/>
              </w:rPr>
              <w:pStyle w:val="P68B1DB1-Normal5"/>
            </w:pPr>
            <w:r>
              <w:t xml:space="preserve">Chaque groupe doit discuter de la signification de chaque déclaration et doit préparer une brève présentation avec des commentaires. </w:t>
            </w:r>
          </w:p>
        </w:tc>
        <w:tc>
          <w:tcPr>
            <w:tcW w:w="1719" w:type="dxa"/>
            <w:tcBorders>
              <w:top w:val="single" w:sz="4" w:space="0" w:color="auto"/>
              <w:left w:val="single" w:sz="4" w:space="0" w:color="auto"/>
              <w:bottom w:val="single" w:sz="4" w:space="0" w:color="auto"/>
              <w:right w:val="single" w:sz="4" w:space="0" w:color="auto"/>
            </w:tcBorders>
          </w:tcPr>
          <w:p w14:paraId="4DCFAC70" w14:textId="15E860BD">
            <w:pPr>
              <w:keepNext/>
              <w:spacing w:before="120" w:after="0"/>
              <w:rPr>
                <w:rFonts w:cstheme="minorHAnsi"/>
                <w:color w:val="000000"/>
              </w:rPr>
              <w:pStyle w:val="P68B1DB1-Normal10"/>
            </w:pPr>
            <w:r>
              <w:t xml:space="preserve">Des ordinateurs ou du papier!</w:t>
            </w:r>
          </w:p>
        </w:tc>
        <w:tc>
          <w:tcPr>
            <w:tcW w:w="873" w:type="dxa"/>
            <w:tcBorders>
              <w:top w:val="single" w:sz="4" w:space="0" w:color="auto"/>
              <w:left w:val="single" w:sz="4" w:space="0" w:color="auto"/>
              <w:bottom w:val="single" w:sz="4" w:space="0" w:color="auto"/>
              <w:right w:val="single" w:sz="4" w:space="0" w:color="auto"/>
            </w:tcBorders>
          </w:tcPr>
          <w:p w14:paraId="33171CF4" w14:textId="1DC2A0CF">
            <w:pPr>
              <w:keepNext/>
              <w:spacing w:before="120" w:after="0"/>
              <w:rPr>
                <w:rFonts w:ascii="Times New Roman" w:hAnsi="Times New Roman" w:cs="Times New Roman"/>
              </w:rPr>
              <w:pStyle w:val="P68B1DB1-Normal11"/>
            </w:pPr>
            <w:r>
              <w:t>20’</w:t>
            </w:r>
          </w:p>
        </w:tc>
      </w:tr>
      <w:tr w14:paraId="52C603D0" w14:textId="77777777">
        <w:tc>
          <w:tcPr>
            <w:tcW w:w="2160" w:type="dxa"/>
            <w:tcBorders>
              <w:top w:val="single" w:sz="4" w:space="0" w:color="auto"/>
              <w:left w:val="single" w:sz="4" w:space="0" w:color="auto"/>
              <w:bottom w:val="single" w:sz="4" w:space="0" w:color="auto"/>
              <w:right w:val="single" w:sz="4" w:space="0" w:color="auto"/>
            </w:tcBorders>
          </w:tcPr>
          <w:p w14:paraId="116D7631" w14:textId="09BB9FD3">
            <w:pPr>
              <w:pStyle w:val="P68B1DB1-ListParagraph8"/>
              <w:numPr>
                <w:ilvl w:val="0"/>
                <w:numId w:val="1"/>
              </w:numPr>
              <w:spacing w:before="120"/>
              <w:rPr>
                <w:rFonts w:ascii="Times New Roman" w:hAnsi="Times New Roman" w:cs="Times New Roman"/>
                <w:b/>
                <w:color w:val="000000"/>
              </w:rPr>
            </w:pPr>
            <w:r>
              <w:t>Présentations-Évaluation</w:t>
            </w:r>
          </w:p>
        </w:tc>
        <w:tc>
          <w:tcPr>
            <w:tcW w:w="5868" w:type="dxa"/>
            <w:tcBorders>
              <w:top w:val="single" w:sz="4" w:space="0" w:color="auto"/>
              <w:left w:val="single" w:sz="4" w:space="0" w:color="auto"/>
              <w:bottom w:val="single" w:sz="4" w:space="0" w:color="auto"/>
              <w:right w:val="single" w:sz="4" w:space="0" w:color="auto"/>
            </w:tcBorders>
          </w:tcPr>
          <w:p w14:paraId="2F5BFBA3" w14:textId="48A861BD">
            <w:pPr>
              <w:jc w:val="both"/>
              <w:rPr>
                <w:rFonts w:cstheme="minorHAnsi"/>
              </w:rPr>
              <w:pStyle w:val="P68B1DB1-Normal5"/>
            </w:pPr>
            <w:r>
              <w:t xml:space="preserve">Présentations — Discussion dans toute l’équipe!</w:t>
            </w:r>
          </w:p>
        </w:tc>
        <w:tc>
          <w:tcPr>
            <w:tcW w:w="1719" w:type="dxa"/>
            <w:tcBorders>
              <w:top w:val="single" w:sz="4" w:space="0" w:color="auto"/>
              <w:left w:val="single" w:sz="4" w:space="0" w:color="auto"/>
              <w:bottom w:val="single" w:sz="4" w:space="0" w:color="auto"/>
              <w:right w:val="single" w:sz="4" w:space="0" w:color="auto"/>
            </w:tcBorders>
          </w:tcPr>
          <w:p w14:paraId="76D15AC7" w14:textId="77777777">
            <w:pPr>
              <w:keepNext/>
              <w:spacing w:before="120" w:after="0"/>
              <w:rPr>
                <w:rFonts w:cstheme="minorHAnsi"/>
                <w:color w:val="000000"/>
              </w:rPr>
            </w:pPr>
          </w:p>
        </w:tc>
        <w:tc>
          <w:tcPr>
            <w:tcW w:w="873" w:type="dxa"/>
            <w:tcBorders>
              <w:top w:val="single" w:sz="4" w:space="0" w:color="auto"/>
              <w:left w:val="single" w:sz="4" w:space="0" w:color="auto"/>
              <w:bottom w:val="single" w:sz="4" w:space="0" w:color="auto"/>
              <w:right w:val="single" w:sz="4" w:space="0" w:color="auto"/>
            </w:tcBorders>
          </w:tcPr>
          <w:p w14:paraId="589477D5" w14:textId="0A0CA930">
            <w:pPr>
              <w:keepNext/>
              <w:spacing w:before="120" w:after="0"/>
              <w:rPr>
                <w:rFonts w:ascii="Times New Roman" w:hAnsi="Times New Roman" w:cs="Times New Roman"/>
              </w:rPr>
              <w:pStyle w:val="P68B1DB1-Normal11"/>
            </w:pPr>
            <w:r>
              <w:t>40’</w:t>
            </w:r>
          </w:p>
        </w:tc>
      </w:tr>
    </w:tbl>
    <w:p w14:paraId="077D07EA" w14:textId="11E3D6D8"/>
    <w:p w14:paraId="6CB5D2A4" w14:textId="165EC3EF"/>
    <w:p w14:paraId="4C8F6018" w14:textId="3366625E"/>
    <w:p w14:paraId="79D88E55" w14:textId="652DF828">
      <w:pPr>
        <w:rPr>
          <w:rFonts w:ascii="Century Gothic" w:hAnsi="Century Gothic"/>
          <w:b/>
          <w:sz w:val="24"/>
        </w:rPr>
        <w:pStyle w:val="P68B1DB1-Normal12"/>
      </w:pPr>
      <w:r>
        <w:t>Annexes:</w:t>
      </w:r>
    </w:p>
    <w:p w14:paraId="2F96098C" w14:textId="29F912BB">
      <w:pPr>
        <w:rPr>
          <w:rFonts w:ascii="Century Gothic" w:hAnsi="Century Gothic"/>
          <w:b/>
          <w:sz w:val="24"/>
        </w:rPr>
      </w:pPr>
    </w:p>
    <w:tbl>
      <w:tblPr>
        <w:tblStyle w:val="TableGrid"/>
        <w:tblW w:w="0" w:type="auto"/>
        <w:tblLook w:val="04A0" w:firstRow="1" w:lastRow="0" w:firstColumn="1" w:lastColumn="0" w:noHBand="0" w:noVBand="1"/>
      </w:tblPr>
      <w:tblGrid>
        <w:gridCol w:w="9350"/>
      </w:tblGrid>
      <w:tr w14:paraId="43DE7AE0" w14:textId="77777777">
        <w:tc>
          <w:tcPr>
            <w:tcW w:w="9350" w:type="dxa"/>
          </w:tcPr>
          <w:p w14:paraId="6770E186" w14:textId="77777777">
            <w:pPr>
              <w:rPr>
                <w:rFonts w:cstheme="minorHAnsi"/>
                <w:b/>
                <w:i/>
                <w:sz w:val="24"/>
              </w:rPr>
            </w:pPr>
          </w:p>
          <w:p w14:paraId="71B35D96" w14:textId="68C84E4D">
            <w:pPr>
              <w:rPr>
                <w:rFonts w:cstheme="minorHAnsi"/>
                <w:b/>
                <w:i/>
                <w:sz w:val="24"/>
              </w:rPr>
              <w:pStyle w:val="P68B1DB1-Normal13"/>
            </w:pPr>
            <w:r>
              <w:t>A)</w:t>
            </w:r>
          </w:p>
          <w:p w14:paraId="091A3AB5" w14:textId="361D3BFF">
            <w:pPr>
              <w:rPr>
                <w:rFonts w:ascii="Calibri" w:hAnsi="Calibri" w:cs="Arial" w:eastAsia="Calibri"/>
                <w:sz w:val="24"/>
              </w:rPr>
              <w:pStyle w:val="P68B1DB1-Normal14"/>
            </w:pPr>
            <w:r>
              <w:t xml:space="preserve">La diversité est un atout de l’humanité, c’est notre richesse, et nous devons l’utiliser de la meilleure façon possible.</w:t>
            </w:r>
          </w:p>
          <w:p w14:paraId="4E4AE4EE" w14:textId="77777777">
            <w:pPr>
              <w:rPr>
                <w:rFonts w:ascii="Calibri" w:hAnsi="Calibri" w:cs="Arial" w:eastAsia="Calibri"/>
                <w:sz w:val="24"/>
              </w:rPr>
              <w:pStyle w:val="P68B1DB1-Normal15"/>
            </w:pPr>
            <w:r>
              <w:t xml:space="preserve">— Fabiola Gianotti, Directeur général</w:t>
            </w:r>
          </w:p>
          <w:p w14:paraId="6A1BB43D" w14:textId="77777777">
            <w:pPr>
              <w:rPr>
                <w:rFonts w:ascii="Century Gothic" w:hAnsi="Century Gothic"/>
                <w:b/>
                <w:sz w:val="24"/>
              </w:rPr>
            </w:pPr>
          </w:p>
        </w:tc>
      </w:tr>
    </w:tbl>
    <w:p w14:paraId="535065BA" w14:textId="2A3D5AA0">
      <w:pPr>
        <w:rPr>
          <w:rFonts w:ascii="Century Gothic" w:hAnsi="Century Gothic"/>
          <w:b/>
          <w:sz w:val="24"/>
        </w:rPr>
      </w:pPr>
    </w:p>
    <w:tbl>
      <w:tblPr>
        <w:tblStyle w:val="TableGrid"/>
        <w:tblW w:w="0" w:type="auto"/>
        <w:tblLook w:val="04A0" w:firstRow="1" w:lastRow="0" w:firstColumn="1" w:lastColumn="0" w:noHBand="0" w:noVBand="1"/>
      </w:tblPr>
      <w:tblGrid>
        <w:gridCol w:w="9350"/>
      </w:tblGrid>
      <w:tr w14:paraId="3BDCE4CC" w14:textId="77777777">
        <w:tc>
          <w:tcPr>
            <w:tcW w:w="9350" w:type="dxa"/>
          </w:tcPr>
          <w:p w14:paraId="467C3B3D" w14:textId="77777777">
            <w:pPr>
              <w:rPr>
                <w:rFonts w:ascii="Calibri" w:hAnsi="Calibri" w:cs="Arial" w:eastAsia="Calibri"/>
                <w:b/>
                <w:i/>
              </w:rPr>
            </w:pPr>
          </w:p>
          <w:p w14:paraId="73731171" w14:textId="7088ADB0">
            <w:pPr>
              <w:rPr>
                <w:rFonts w:ascii="Calibri" w:hAnsi="Calibri" w:cs="Arial" w:eastAsia="Calibri"/>
                <w:b/>
                <w:i/>
                <w:sz w:val="24"/>
              </w:rPr>
              <w:pStyle w:val="P68B1DB1-Normal14"/>
            </w:pPr>
            <w:r>
              <w:t>B)</w:t>
            </w:r>
          </w:p>
          <w:p w14:paraId="1578658B" w14:textId="0925351B">
            <w:pPr>
              <w:rPr>
                <w:rFonts w:ascii="Calibri" w:hAnsi="Calibri" w:cs="Arial" w:eastAsia="Calibri"/>
                <w:sz w:val="24"/>
              </w:rPr>
              <w:pStyle w:val="P68B1DB1-Normal14"/>
            </w:pPr>
            <w:r>
              <w:t xml:space="preserve">Aujourd’hui, de nombreuses femmes peuvent enfin choisir comment vivre leur vie, mais nous devons rester vigilants dans nos efforts collectifs sur la voie de l’égalité des chances, de la diversité et de l’inclusion.</w:t>
            </w:r>
          </w:p>
          <w:p w14:paraId="46DC4B67" w14:textId="77777777">
            <w:pPr>
              <w:rPr>
                <w:rFonts w:ascii="Calibri" w:hAnsi="Calibri" w:cs="Arial" w:eastAsia="Calibri"/>
                <w:sz w:val="24"/>
              </w:rPr>
              <w:pStyle w:val="P68B1DB1-Normal15"/>
            </w:pPr>
            <w:r>
              <w:rPr>
                <w:i/>
              </w:rPr>
              <w:t xml:space="preserve">- </w:t>
            </w:r>
            <w:r>
              <w:t xml:space="preserve">Ursula Bassler, ancienne présidente du Conseil du CERN</w:t>
            </w:r>
          </w:p>
          <w:p w14:paraId="519E2ACD" w14:textId="77777777">
            <w:pPr>
              <w:rPr>
                <w:rFonts w:ascii="Century Gothic" w:hAnsi="Century Gothic"/>
                <w:b/>
                <w:sz w:val="24"/>
              </w:rPr>
            </w:pPr>
          </w:p>
        </w:tc>
      </w:tr>
    </w:tbl>
    <w:p w14:paraId="0ECA6FA4" w14:textId="0C459A51">
      <w:pPr>
        <w:rPr>
          <w:rFonts w:ascii="Century Gothic" w:hAnsi="Century Gothic"/>
          <w:b/>
          <w:sz w:val="24"/>
        </w:rPr>
      </w:pPr>
    </w:p>
    <w:tbl>
      <w:tblPr>
        <w:tblStyle w:val="TableGrid"/>
        <w:tblW w:w="0" w:type="auto"/>
        <w:tblLook w:val="04A0" w:firstRow="1" w:lastRow="0" w:firstColumn="1" w:lastColumn="0" w:noHBand="0" w:noVBand="1"/>
      </w:tblPr>
      <w:tblGrid>
        <w:gridCol w:w="9350"/>
      </w:tblGrid>
      <w:tr w14:paraId="1D237B36" w14:textId="77777777">
        <w:tc>
          <w:tcPr>
            <w:tcW w:w="9350" w:type="dxa"/>
          </w:tcPr>
          <w:p w14:paraId="491F72F3" w14:textId="77777777">
            <w:pPr>
              <w:rPr>
                <w:rFonts w:ascii="Calibri" w:hAnsi="Calibri" w:cs="Arial" w:eastAsia="Calibri"/>
                <w:b/>
                <w:i/>
                <w:sz w:val="24"/>
              </w:rPr>
            </w:pPr>
          </w:p>
          <w:p w14:paraId="482ADA31" w14:textId="26F96835">
            <w:pPr>
              <w:rPr>
                <w:rFonts w:ascii="Calibri" w:hAnsi="Calibri" w:cs="Arial" w:eastAsia="Calibri"/>
                <w:b/>
                <w:i/>
                <w:sz w:val="24"/>
              </w:rPr>
              <w:pStyle w:val="P68B1DB1-Normal14"/>
            </w:pPr>
            <w:r>
              <w:t>C)</w:t>
            </w:r>
          </w:p>
          <w:p w14:paraId="0C85E777" w14:textId="1261ACB2">
            <w:pPr>
              <w:rPr>
                <w:rFonts w:ascii="Calibri" w:hAnsi="Calibri" w:cs="Arial" w:eastAsia="Calibri"/>
                <w:sz w:val="24"/>
              </w:rPr>
              <w:pStyle w:val="P68B1DB1-Normal14"/>
            </w:pPr>
            <w:r>
              <w:t xml:space="preserve">Lorsque nous faisons l’expérience de la collaboration et de l’inclusion de personnes d’horizons divers, nous faisons l’expérience de la créativité, qui est essentielle non seulement au progrès humain en général, mais aussi au progrès scientifique en particulier.</w:t>
            </w:r>
          </w:p>
          <w:p w14:paraId="080D6FF7" w14:textId="77777777">
            <w:pPr>
              <w:rPr>
                <w:rFonts w:ascii="Calibri" w:hAnsi="Calibri" w:cs="Arial" w:eastAsia="Calibri"/>
                <w:sz w:val="24"/>
              </w:rPr>
              <w:pStyle w:val="P68B1DB1-Normal15"/>
            </w:pPr>
            <w:r>
              <w:t xml:space="preserve">— Barbro Åsman, président du Forum tripartite des conditions d’emploi du CERN («TREF»)</w:t>
            </w:r>
          </w:p>
          <w:p w14:paraId="2D72834A" w14:textId="77777777">
            <w:pPr>
              <w:rPr>
                <w:rFonts w:ascii="Century Gothic" w:hAnsi="Century Gothic"/>
                <w:b/>
                <w:sz w:val="24"/>
              </w:rPr>
            </w:pPr>
          </w:p>
        </w:tc>
      </w:tr>
    </w:tbl>
    <w:p w14:paraId="653DDE7B" w14:textId="77777777">
      <w:pPr>
        <w:rPr>
          <w:rFonts w:ascii="Century Gothic" w:hAnsi="Century Gothic"/>
          <w:b/>
          <w:sz w:val="24"/>
        </w:rPr>
      </w:pPr>
    </w:p>
    <w:p w14:paraId="0B9FBDD8" w14:textId="77777777">
      <w:pPr>
        <w:rPr>
          <w:rFonts w:ascii="Century Gothic" w:hAnsi="Century Gothic"/>
          <w:b/>
          <w:sz w:val="24"/>
        </w:rPr>
      </w:pPr>
    </w:p>
    <w:p w14:paraId="21C89DF3" w14:textId="77777777"/>
    <w:sectPr>
      <w:head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EE3BB" w14:textId="77777777">
      <w:pPr>
        <w:spacing w:after="0" w:line="240" w:lineRule="auto"/>
      </w:pPr>
      <w:r>
        <w:separator/>
      </w:r>
    </w:p>
  </w:endnote>
  <w:endnote w:type="continuationSeparator" w:id="0">
    <w:p w14:paraId="12E154F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ACFF" w:usb2="00000009" w:usb3="00000000" w:csb0="000001FF" w:csb1="00000000"/>
  </w:font>
  <w:font w:name="Arial">
    <w:panose1 w:val="020B0604020202020204"/>
    <w:charset w:val="A2"/>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A2"/>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07C4A" w14:textId="77777777">
      <w:pPr>
        <w:spacing w:after="0" w:line="240" w:lineRule="auto"/>
      </w:pPr>
      <w:r>
        <w:separator/>
      </w:r>
    </w:p>
  </w:footnote>
  <w:footnote w:type="continuationSeparator" w:id="0">
    <w:p w14:paraId="1AA1499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BE79B" w14:textId="4C1AD98A">
    <w:pPr>
      <w:pStyle w:val="Header"/>
    </w:pPr>
    <w:r>
      <w:drawing>
        <wp:inline distT="0" distB="0" distL="0" distR="0" wp14:anchorId="7778D2B6" wp14:editId="332BD464">
          <wp:extent cx="846793" cy="852932"/>
          <wp:effectExtent l="0" t="0" r="0" b="0"/>
          <wp:docPr id="2" name="Imag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857853" cy="864073"/>
                  </a:xfrm>
                  <a:prstGeom prst="rect">
                    <a:avLst/>
                  </a:prstGeom>
                  <a:noFill/>
                  <a:ln>
                    <a:noFill/>
                    <a:prstDash/>
                  </a:ln>
                </pic:spPr>
              </pic:pic>
            </a:graphicData>
          </a:graphic>
        </wp:inline>
      </w:drawing>
    </w:r>
    <w:r>
      <w:t xml:space="preserve">                                                                                          </w:t>
    </w:r>
    <w:r>
      <w:drawing>
        <wp:inline distT="0" distB="0" distL="0" distR="0" wp14:anchorId="6E404A45" wp14:editId="26A13301">
          <wp:extent cx="2000709" cy="407543"/>
          <wp:effectExtent l="0" t="0" r="0" b="0"/>
          <wp:docPr id="3" name="Imag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2018439" cy="411155"/>
                  </a:xfrm>
                  <a:prstGeom prst="rect">
                    <a:avLst/>
                  </a:prstGeom>
                  <a:noFill/>
                  <a:ln>
                    <a:noFill/>
                    <a:prstDash/>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1F2831"/>
    <w:multiLevelType w:val="hybridMultilevel"/>
    <w:tmpl w:val="11C64CA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056468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BA5"/>
    <w:rsid w:val="00056949"/>
    <w:rsid w:val="000C34E4"/>
    <w:rsid w:val="00117E2A"/>
    <w:rsid w:val="001771FF"/>
    <w:rsid w:val="00243849"/>
    <w:rsid w:val="002C1735"/>
    <w:rsid w:val="00320B62"/>
    <w:rsid w:val="00407BA5"/>
    <w:rsid w:val="0047048B"/>
    <w:rsid w:val="005C0913"/>
    <w:rsid w:val="0061241E"/>
    <w:rsid w:val="0074575E"/>
    <w:rsid w:val="0075554B"/>
    <w:rsid w:val="008B714B"/>
    <w:rsid w:val="00903D82"/>
    <w:rsid w:val="009046FF"/>
    <w:rsid w:val="00943BC9"/>
    <w:rsid w:val="0095196E"/>
    <w:rsid w:val="009971E8"/>
    <w:rsid w:val="009D5F07"/>
    <w:rsid w:val="00B3473C"/>
    <w:rsid w:val="00B512C8"/>
    <w:rsid w:val="00C704D7"/>
    <w:rsid w:val="00D06349"/>
    <w:rsid w:val="00DF6EE8"/>
    <w:rsid w:val="00E94BBD"/>
    <w:rsid w:val="00F64059"/>
  </w:rsids>
  <m:mathPr>
    <m:mathFont m:val="Cambria Math"/>
    <m:brkBin m:val="before"/>
    <m:brkBinSub m:val="--"/>
    <m:smallFrac m:val="0"/>
    <m:dispDef/>
    <m:lMargin m:val="0"/>
    <m:rMargin m:val="0"/>
    <m:defJc m:val="centerGroup"/>
    <m:wrapIndent m:val="1440"/>
    <m:intLim m:val="subSup"/>
    <m:naryLim m:val="undOvr"/>
  </m:mathPr>
  <w:themeFontLang w:val="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B31F2"/>
  <w15:docId w15:val="{945C707E-6BE4-4890-967E-99705D14CB79}"/>
  <w:updateFields w:val="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pPrDefault>
      <w:pPr>
        <w:spacing w:after="160" w:line="259" w:lineRule="auto"/>
      </w:pPr>
    </w:pPrDefault>
    <w:rPrDefault>
      <w:rPr>
        <w:rFonts w:asciiTheme="minorHAnsi" w:hAnsiTheme="minorHAnsi" w:cstheme="minorBidi" w:eastAsiaTheme="minorHAnsi"/>
        <w:sz w:val="22"/>
        <w:lang w:val="fr"/>
      </w:rPr>
    </w:r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B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7BA5"/>
    <w:rPr>
      <w:color w:val="0563C1" w:themeColor="hyperlink"/>
      <w:u w:val="single"/>
    </w:rPr>
  </w:style>
  <w:style w:type="paragraph" w:customStyle="1" w:styleId="Default">
    <w:name w:val="Default"/>
    <w:rsid w:val="00407BA5"/>
    <w:pPr>
      <w:autoSpaceDE w:val="0"/>
      <w:autoSpaceDN w:val="0"/>
      <w:adjustRightInd w:val="0"/>
      <w:spacing w:after="0" w:line="240" w:lineRule="auto"/>
    </w:pPr>
    <w:rPr>
      <w:rFonts w:ascii="Calibri" w:hAnsi="Calibri" w:cs="Calibri"/>
      <w:color w:val="000000"/>
      <w:sz w:val="24"/>
    </w:rPr>
  </w:style>
  <w:style w:type="table" w:styleId="TableGrid">
    <w:name w:val="Table Grid"/>
    <w:basedOn w:val="TableNormal"/>
    <w:uiPriority w:val="39"/>
    <w:rsid w:val="00407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7B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BA5"/>
  </w:style>
  <w:style w:type="paragraph" w:styleId="HTMLPreformatted">
    <w:name w:val="HTML Preformatted"/>
    <w:basedOn w:val="Normal"/>
    <w:link w:val="HTMLPreformattedChar"/>
    <w:uiPriority w:val="99"/>
    <w:semiHidden/>
    <w:unhideWhenUsed/>
    <w:rsid w:val="009971E8"/>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9971E8"/>
    <w:rPr>
      <w:rFonts w:ascii="Consolas" w:hAnsi="Consolas"/>
      <w:sz w:val="20"/>
    </w:rPr>
  </w:style>
  <w:style w:type="paragraph" w:styleId="BalloonText">
    <w:name w:val="Balloon Text"/>
    <w:basedOn w:val="Normal"/>
    <w:link w:val="BalloonTextChar"/>
    <w:uiPriority w:val="99"/>
    <w:semiHidden/>
    <w:unhideWhenUsed/>
    <w:rsid w:val="009D5F07"/>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sid w:val="009D5F07"/>
    <w:rPr>
      <w:rFonts w:ascii="Tahoma" w:hAnsi="Tahoma" w:cs="Tahoma"/>
      <w:sz w:val="16"/>
    </w:rPr>
  </w:style>
  <w:style w:type="paragraph" w:styleId="Footer">
    <w:name w:val="footer"/>
    <w:basedOn w:val="Normal"/>
    <w:link w:val="FooterChar"/>
    <w:uiPriority w:val="99"/>
    <w:unhideWhenUsed/>
    <w:rsid w:val="00DF6E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EE8"/>
  </w:style>
  <w:style w:type="paragraph" w:styleId="NormalWeb">
    <w:name w:val="Normal (Web)"/>
    <w:basedOn w:val="Normal"/>
    <w:uiPriority w:val="99"/>
    <w:unhideWhenUsed/>
    <w:rsid w:val="00C704D7"/>
    <w:pPr>
      <w:spacing w:before="100" w:beforeAutospacing="1" w:after="100" w:afterAutospacing="1" w:line="240" w:lineRule="auto"/>
    </w:pPr>
    <w:rPr>
      <w:rFonts w:ascii="Times New Roman" w:hAnsi="Times New Roman" w:cs="Times New Roman" w:eastAsia="Times New Roman"/>
      <w:sz w:val="24"/>
    </w:rPr>
  </w:style>
  <w:style w:type="character" w:styleId="UnresolvedMention">
    <w:name w:val="Unresolved Mention"/>
    <w:basedOn w:val="DefaultParagraphFont"/>
    <w:uiPriority w:val="99"/>
    <w:semiHidden/>
    <w:unhideWhenUsed/>
    <w:rsid w:val="005C0913"/>
    <w:rPr>
      <w:color w:val="605E5C"/>
      <w:shd w:val="clear" w:color="auto" w:fill="E1DFDD"/>
    </w:rPr>
  </w:style>
  <w:style w:type="paragraph" w:styleId="ListParagraph">
    <w:name w:val="List Paragraph"/>
    <w:basedOn w:val="Normal"/>
    <w:uiPriority w:val="34"/>
    <w:qFormat/>
    <w:rsid w:val="00320B62"/>
    <w:pPr>
      <w:ind w:left="720"/>
      <w:contextualSpacing/>
    </w:pPr>
  </w:style>
  <w:style w:type="paragraph" w:styleId="P68B1DB1-Normal1">
    <w:name w:val="P68B1DB1-Normal1"/>
    <w:basedOn w:val="Normal"/>
    <w:rPr>
      <w:b/>
    </w:rPr>
  </w:style>
  <w:style w:type="paragraph" w:styleId="P68B1DB1-Normal2">
    <w:name w:val="P68B1DB1-Normal2"/>
    <w:basedOn w:val="Normal"/>
    <w:rPr>
      <w:b/>
      <w:sz w:val="28"/>
      <w:u w:val="single"/>
    </w:rPr>
  </w:style>
  <w:style w:type="paragraph" w:styleId="P68B1DB1-Normal3">
    <w:name w:val="P68B1DB1-Normal3"/>
    <w:basedOn w:val="Normal"/>
    <w:rPr>
      <w:b/>
      <w:color w:val="0070C0"/>
    </w:rPr>
  </w:style>
  <w:style w:type="paragraph" w:styleId="P68B1DB1-Normal4">
    <w:name w:val="P68B1DB1-Normal4"/>
    <w:basedOn w:val="Normal"/>
    <w:rPr>
      <w:rFonts w:cstheme="minorHAnsi"/>
      <w:b/>
    </w:rPr>
  </w:style>
  <w:style w:type="paragraph" w:styleId="P68B1DB1-Normal5">
    <w:name w:val="P68B1DB1-Normal5"/>
    <w:basedOn w:val="Normal"/>
    <w:rPr>
      <w:rFonts w:cstheme="minorHAnsi"/>
    </w:rPr>
  </w:style>
  <w:style w:type="paragraph" w:styleId="P68B1DB1-Normal6">
    <w:name w:val="P68B1DB1-Normal6"/>
    <w:basedOn w:val="Normal"/>
    <w:rPr>
      <w:rFonts w:cs="Arial"/>
      <w:b/>
    </w:rPr>
  </w:style>
  <w:style w:type="paragraph" w:styleId="P68B1DB1-Normal7">
    <w:name w:val="P68B1DB1-Normal7"/>
    <w:basedOn w:val="Normal"/>
    <w:rPr>
      <w:rFonts w:ascii="Times New Roman" w:hAnsi="Times New Roman" w:cs="Times New Roman"/>
      <w:b/>
      <w:color w:val="000000"/>
    </w:rPr>
  </w:style>
  <w:style w:type="paragraph" w:styleId="P68B1DB1-ListParagraph8">
    <w:name w:val="P68B1DB1-ListParagraph8"/>
    <w:basedOn w:val="ListParagraph"/>
    <w:rPr>
      <w:rFonts w:ascii="Times New Roman" w:hAnsi="Times New Roman" w:cs="Times New Roman"/>
      <w:b/>
      <w:color w:val="000000"/>
    </w:rPr>
  </w:style>
  <w:style w:type="paragraph" w:styleId="P68B1DB1-NormalWeb9">
    <w:name w:val="P68B1DB1-NormalWeb9"/>
    <w:basedOn w:val="NormalWeb"/>
    <w:rPr>
      <w:rFonts w:asciiTheme="minorHAnsi" w:hAnsiTheme="minorHAnsi" w:cstheme="minorHAnsi"/>
    </w:rPr>
  </w:style>
  <w:style w:type="paragraph" w:styleId="P68B1DB1-Normal10">
    <w:name w:val="P68B1DB1-Normal10"/>
    <w:basedOn w:val="Normal"/>
    <w:rPr>
      <w:rFonts w:cstheme="minorHAnsi"/>
      <w:color w:val="000000"/>
    </w:rPr>
  </w:style>
  <w:style w:type="paragraph" w:styleId="P68B1DB1-Normal11">
    <w:name w:val="P68B1DB1-Normal11"/>
    <w:basedOn w:val="Normal"/>
    <w:rPr>
      <w:rFonts w:ascii="Times New Roman" w:hAnsi="Times New Roman" w:cs="Times New Roman"/>
    </w:rPr>
  </w:style>
  <w:style w:type="paragraph" w:styleId="P68B1DB1-Normal12">
    <w:name w:val="P68B1DB1-Normal12"/>
    <w:basedOn w:val="Normal"/>
    <w:rPr>
      <w:rFonts w:ascii="Century Gothic" w:hAnsi="Century Gothic"/>
      <w:b/>
      <w:sz w:val="24"/>
    </w:rPr>
  </w:style>
  <w:style w:type="paragraph" w:styleId="P68B1DB1-Normal13">
    <w:name w:val="P68B1DB1-Normal13"/>
    <w:basedOn w:val="Normal"/>
    <w:rPr>
      <w:rFonts w:cstheme="minorHAnsi"/>
      <w:b/>
      <w:i/>
      <w:sz w:val="24"/>
    </w:rPr>
  </w:style>
  <w:style w:type="paragraph" w:styleId="P68B1DB1-Normal14">
    <w:name w:val="P68B1DB1-Normal14"/>
    <w:basedOn w:val="Normal"/>
    <w:rPr>
      <w:rFonts w:ascii="Calibri" w:hAnsi="Calibri" w:cs="Arial" w:eastAsia="Calibri"/>
      <w:b/>
      <w:i/>
      <w:sz w:val="24"/>
    </w:rPr>
  </w:style>
  <w:style w:type="paragraph" w:styleId="P68B1DB1-Normal15">
    <w:name w:val="P68B1DB1-Normal15"/>
    <w:basedOn w:val="Normal"/>
    <w:rPr>
      <w:rFonts w:ascii="Calibri" w:hAnsi="Calibri" w:cs="Arial" w:eastAsia="Calibr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4875">
      <w:bodyDiv w:val="1"/>
      <w:marLeft w:val="0"/>
      <w:marRight w:val="0"/>
      <w:marTop w:val="0"/>
      <w:marBottom w:val="0"/>
      <w:divBdr>
        <w:top w:val="none" w:sz="0" w:space="0" w:color="auto"/>
        <w:left w:val="none" w:sz="0" w:space="0" w:color="auto"/>
        <w:bottom w:val="none" w:sz="0" w:space="0" w:color="auto"/>
        <w:right w:val="none" w:sz="0" w:space="0" w:color="auto"/>
      </w:divBdr>
    </w:div>
    <w:div w:id="537472221">
      <w:bodyDiv w:val="1"/>
      <w:marLeft w:val="0"/>
      <w:marRight w:val="0"/>
      <w:marTop w:val="0"/>
      <w:marBottom w:val="0"/>
      <w:divBdr>
        <w:top w:val="none" w:sz="0" w:space="0" w:color="auto"/>
        <w:left w:val="none" w:sz="0" w:space="0" w:color="auto"/>
        <w:bottom w:val="none" w:sz="0" w:space="0" w:color="auto"/>
        <w:right w:val="none" w:sz="0" w:space="0" w:color="auto"/>
      </w:divBdr>
    </w:div>
    <w:div w:id="809635676">
      <w:bodyDiv w:val="1"/>
      <w:marLeft w:val="0"/>
      <w:marRight w:val="0"/>
      <w:marTop w:val="0"/>
      <w:marBottom w:val="0"/>
      <w:divBdr>
        <w:top w:val="none" w:sz="0" w:space="0" w:color="auto"/>
        <w:left w:val="none" w:sz="0" w:space="0" w:color="auto"/>
        <w:bottom w:val="none" w:sz="0" w:space="0" w:color="auto"/>
        <w:right w:val="none" w:sz="0" w:space="0" w:color="auto"/>
      </w:divBdr>
    </w:div>
    <w:div w:id="869146245">
      <w:bodyDiv w:val="1"/>
      <w:marLeft w:val="0"/>
      <w:marRight w:val="0"/>
      <w:marTop w:val="0"/>
      <w:marBottom w:val="0"/>
      <w:divBdr>
        <w:top w:val="none" w:sz="0" w:space="0" w:color="auto"/>
        <w:left w:val="none" w:sz="0" w:space="0" w:color="auto"/>
        <w:bottom w:val="none" w:sz="0" w:space="0" w:color="auto"/>
        <w:right w:val="none" w:sz="0" w:space="0" w:color="auto"/>
      </w:divBdr>
    </w:div>
    <w:div w:id="881138560">
      <w:bodyDiv w:val="1"/>
      <w:marLeft w:val="0"/>
      <w:marRight w:val="0"/>
      <w:marTop w:val="0"/>
      <w:marBottom w:val="0"/>
      <w:divBdr>
        <w:top w:val="none" w:sz="0" w:space="0" w:color="auto"/>
        <w:left w:val="none" w:sz="0" w:space="0" w:color="auto"/>
        <w:bottom w:val="none" w:sz="0" w:space="0" w:color="auto"/>
        <w:right w:val="none" w:sz="0" w:space="0" w:color="auto"/>
      </w:divBdr>
    </w:div>
    <w:div w:id="1649438316">
      <w:bodyDiv w:val="1"/>
      <w:marLeft w:val="0"/>
      <w:marRight w:val="0"/>
      <w:marTop w:val="0"/>
      <w:marBottom w:val="0"/>
      <w:divBdr>
        <w:top w:val="none" w:sz="0" w:space="0" w:color="auto"/>
        <w:left w:val="none" w:sz="0" w:space="0" w:color="auto"/>
        <w:bottom w:val="none" w:sz="0" w:space="0" w:color="auto"/>
        <w:right w:val="none" w:sz="0" w:space="0" w:color="auto"/>
      </w:divBdr>
    </w:div>
    <w:div w:id="182747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iversity-and-inclusion.web.cern.ch/" TargetMode="External"/><Relationship Id="rId5" Type="http://schemas.openxmlformats.org/officeDocument/2006/relationships/styles" Target="styles.xml"/><Relationship Id="rId10" Type="http://schemas.openxmlformats.org/officeDocument/2006/relationships/hyperlink" Target="https://home.cern/news/news/cern/take-part-cerns-women-technology-2022-mentoring-programm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71F39E9FD4AA49B46C710C33F702E2" ma:contentTypeVersion="8" ma:contentTypeDescription="Een nieuw document maken." ma:contentTypeScope="" ma:versionID="56b4391c22caf59b9bac710140f5f180">
  <xsd:schema xmlns:xsd="http://www.w3.org/2001/XMLSchema" xmlns:xs="http://www.w3.org/2001/XMLSchema" xmlns:p="http://schemas.microsoft.com/office/2006/metadata/properties" xmlns:ns2="7619387f-ae3b-4541-8abe-9d696a763bda" xmlns:ns3="74a02d6f-c132-4b53-aa31-54b521f91b30" targetNamespace="http://schemas.microsoft.com/office/2006/metadata/properties" ma:root="true" ma:fieldsID="9618f0d483e2488c9ee514e451b9bad5" ns2:_="" ns3:_="">
    <xsd:import namespace="7619387f-ae3b-4541-8abe-9d696a763bda"/>
    <xsd:import namespace="74a02d6f-c132-4b53-aa31-54b521f91b3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19387f-ae3b-4541-8abe-9d696a763bd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db630b34-ef66-4a23-b54c-047f976c1c4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a02d6f-c132-4b53-aa31-54b521f91b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28c759b-ef10-44ce-ab86-9973abdc2bd0}" ma:internalName="TaxCatchAll" ma:showField="CatchAllData" ma:web="74a02d6f-c132-4b53-aa31-54b521f91b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19387f-ae3b-4541-8abe-9d696a763bda">
      <Terms xmlns="http://schemas.microsoft.com/office/infopath/2007/PartnerControls"/>
    </lcf76f155ced4ddcb4097134ff3c332f>
    <TaxCatchAll xmlns="74a02d6f-c132-4b53-aa31-54b521f91b30" xsi:nil="true"/>
  </documentManagement>
</p:properties>
</file>

<file path=customXml/itemProps1.xml><?xml version="1.0" encoding="utf-8"?>
<ds:datastoreItem xmlns:ds="http://schemas.openxmlformats.org/officeDocument/2006/customXml" ds:itemID="{19FA34EA-A96D-49E8-BDFC-D487E506C530}">
  <ds:schemaRefs>
    <ds:schemaRef ds:uri="http://schemas.microsoft.com/sharepoint/v3/contenttype/forms"/>
  </ds:schemaRefs>
</ds:datastoreItem>
</file>

<file path=customXml/itemProps2.xml><?xml version="1.0" encoding="utf-8"?>
<ds:datastoreItem xmlns:ds="http://schemas.openxmlformats.org/officeDocument/2006/customXml" ds:itemID="{6BEBB712-93EB-4ECE-AB06-4894751DC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19387f-ae3b-4541-8abe-9d696a763bda"/>
    <ds:schemaRef ds:uri="74a02d6f-c132-4b53-aa31-54b521f91b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46A49B-583B-4C2C-81E9-3C7681F8F720}">
  <ds:schemaRefs>
    <ds:schemaRef ds:uri="http://schemas.microsoft.com/office/2006/metadata/properties"/>
    <ds:schemaRef ds:uri="http://schemas.microsoft.com/office/infopath/2007/PartnerControls"/>
    <ds:schemaRef ds:uri="7619387f-ae3b-4541-8abe-9d696a763bda"/>
    <ds:schemaRef ds:uri="74a02d6f-c132-4b53-aa31-54b521f91b3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NANKOVA-NEYKOVA Aneliya (LAE-Teacher)</cp:lastModifiedBy>
  <cp:revision>6</cp:revision>
  <dcterms:created xsi:type="dcterms:W3CDTF">2022-11-11T12:07:00Z</dcterms:created>
  <dcterms:modified xsi:type="dcterms:W3CDTF">2023-02-23T16:50:00Z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c0ff8fd437cc1444e679be906b7a8083c14e7b2a3bdd0053188ea9880970d2e9</vt:lpwstr>
  </property>
  <property fmtid="{D5CDD505-2E9C-101B-9397-08002B2CF9AE}" pid="3" name="ContentTypeId">
    <vt:lpwstr>0x0101000E71F39E9FD4AA49B46C710C33F702E2</vt:lpwstr>
  </property>
</Properties>
</file>